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numPr>
          <w:ilvl w:val="1"/>
          <w:numId w:val="1"/>
        </w:numPr>
        <w:tabs>
          <w:tab w:val="left" w:pos="0"/>
        </w:tabs>
        <w:spacing w:after="120" w:before="240" w:lineRule="auto"/>
        <w:ind w:left="0" w:firstLine="0"/>
        <w:rPr>
          <w:rFonts w:ascii="Overpass" w:cs="Overpass" w:eastAsia="Overpass" w:hAnsi="Overpass"/>
          <w:b w:val="0"/>
        </w:rPr>
      </w:pPr>
      <w:r w:rsidDel="00000000" w:rsidR="00000000" w:rsidRPr="00000000">
        <w:rPr>
          <w:rFonts w:ascii="Overpass" w:cs="Overpass" w:eastAsia="Overpass" w:hAnsi="Overpass"/>
          <w:b w:val="0"/>
          <w:rtl w:val="0"/>
        </w:rPr>
        <w:t xml:space="preserve">Voluntary Product Accessibility Template (VPAT)</w:t>
      </w:r>
    </w:p>
    <w:p w:rsidR="00000000" w:rsidDel="00000000" w:rsidP="00000000" w:rsidRDefault="00000000" w:rsidRPr="00000000" w14:paraId="00000002">
      <w:pPr>
        <w:pStyle w:val="Heading5"/>
        <w:numPr>
          <w:ilvl w:val="4"/>
          <w:numId w:val="1"/>
        </w:numPr>
        <w:tabs>
          <w:tab w:val="left" w:pos="0"/>
        </w:tabs>
        <w:ind w:left="0" w:firstLine="0"/>
        <w:rPr>
          <w:rFonts w:ascii="Overpass" w:cs="Overpass" w:eastAsia="Overpass" w:hAnsi="Overpass"/>
          <w:b w:val="0"/>
          <w:sz w:val="24"/>
          <w:szCs w:val="24"/>
        </w:rPr>
      </w:pPr>
      <w:r w:rsidDel="00000000" w:rsidR="00000000" w:rsidRPr="00000000">
        <w:rPr>
          <w:rFonts w:ascii="Overpass" w:cs="Overpass" w:eastAsia="Overpass" w:hAnsi="Overpass"/>
          <w:b w:val="0"/>
          <w:sz w:val="24"/>
          <w:szCs w:val="24"/>
          <w:rtl w:val="0"/>
        </w:rPr>
        <w:t xml:space="preserve">Date: 04th November</w:t>
      </w:r>
      <w:r w:rsidDel="00000000" w:rsidR="00000000" w:rsidRPr="00000000">
        <w:rPr>
          <w:rFonts w:ascii="Overpass" w:cs="Overpass" w:eastAsia="Overpass" w:hAnsi="Overpass"/>
          <w:b w:val="0"/>
          <w:sz w:val="24"/>
          <w:szCs w:val="24"/>
          <w:rtl w:val="0"/>
        </w:rPr>
        <w:t xml:space="preserve"> 2020</w:t>
        <w:br w:type="textWrapping"/>
        <w:t xml:space="preserve">Product Name:  Red Hat Advanced Cluster Management for Kubernetes (RHACM)</w:t>
        <w:br w:type="textWrapping"/>
        <w:t xml:space="preserve">Product Version Number:  2.1</w:t>
        <w:br w:type="textWrapping"/>
        <w:t xml:space="preserve">Vendor Company Name:  Red Hat</w:t>
        <w:br w:type="textWrapping"/>
        <w:t xml:space="preserve">Vendor Contact Name:  Scott Berens(sberens@redhat.com)</w:t>
        <w:br w:type="textWrapping"/>
        <w:t xml:space="preserve">Vendor Contact Telephone:  +</w:t>
      </w:r>
      <w:r w:rsidDel="00000000" w:rsidR="00000000" w:rsidRPr="00000000">
        <w:rPr>
          <w:rFonts w:ascii="Overpass" w:cs="Overpass" w:eastAsia="Overpass" w:hAnsi="Overpass"/>
          <w:b w:val="0"/>
          <w:sz w:val="24"/>
          <w:szCs w:val="24"/>
          <w:rtl w:val="0"/>
        </w:rPr>
        <w:t xml:space="preserve">1 512 323 0767</w:t>
      </w:r>
    </w:p>
    <w:p w:rsidR="00000000" w:rsidDel="00000000" w:rsidP="00000000" w:rsidRDefault="00000000" w:rsidRPr="00000000" w14:paraId="00000003">
      <w:pPr>
        <w:pStyle w:val="Heading3"/>
        <w:numPr>
          <w:ilvl w:val="2"/>
          <w:numId w:val="1"/>
        </w:numPr>
        <w:tabs>
          <w:tab w:val="left" w:pos="0"/>
        </w:tabs>
        <w:ind w:left="0" w:firstLine="0"/>
        <w:jc w:val="center"/>
        <w:rPr>
          <w:rFonts w:ascii="Overpass" w:cs="Overpass" w:eastAsia="Overpass" w:hAnsi="Overpass"/>
          <w:b w:val="0"/>
        </w:rPr>
      </w:pPr>
      <w:r w:rsidDel="00000000" w:rsidR="00000000" w:rsidRPr="00000000">
        <w:rPr>
          <w:rtl w:val="0"/>
        </w:rPr>
      </w:r>
    </w:p>
    <w:tbl>
      <w:tblPr>
        <w:tblStyle w:val="Table1"/>
        <w:tblW w:w="10170.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4530"/>
        <w:gridCol w:w="2715"/>
        <w:gridCol w:w="2925"/>
        <w:tblGridChange w:id="0">
          <w:tblGrid>
            <w:gridCol w:w="4530"/>
            <w:gridCol w:w="2715"/>
            <w:gridCol w:w="2925"/>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04">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Summary Table</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07">
            <w:pPr>
              <w:pStyle w:val="Heading4"/>
              <w:tabs>
                <w:tab w:val="left" w:pos="0"/>
              </w:tabs>
              <w:spacing w:after="120" w:before="240" w:lineRule="auto"/>
              <w:rPr>
                <w:rFonts w:ascii="Overpass" w:cs="Overpass" w:eastAsia="Overpass" w:hAnsi="Overpass"/>
              </w:rPr>
            </w:pPr>
            <w:r w:rsidDel="00000000" w:rsidR="00000000" w:rsidRPr="00000000">
              <w:rPr>
                <w:rFonts w:ascii="Overpass" w:cs="Overpass" w:eastAsia="Overpass" w:hAnsi="Overpass"/>
                <w:i w:val="1"/>
                <w:rtl w:val="0"/>
              </w:rPr>
              <w:t xml:space="preserve">Criteria</w:t>
            </w:r>
            <w:r w:rsidDel="00000000" w:rsidR="00000000" w:rsidRPr="00000000">
              <w:rPr>
                <w:rtl w:val="0"/>
              </w:rPr>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08">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09">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1194.21 Software Applications and Operating Systems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0B">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Please refer to Section 1194.22 below</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This section is relevant for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the command line portion of RHACM.</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1194.22 Web-based Internet Information and Applications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Please refer to Section 1194.22 below</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1194.23 Telecommunications Products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is not a telecommunications product.</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1194.24 Video and Multi-media Products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is not a video or multimedia product.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1194.25 Self-Contained, Closed Products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is not a contained, closed product.</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1194.26 Desktop and Portable Computers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is not a desktop or portable computer.</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1194.31 Functional Performance 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1E">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Please refer to Section 1194.31 below</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Section 1194.41 Information, Documentation and Support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Please refer to Section 1194.41 below</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gridSpan w:val="3"/>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23">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br w:type="textWrapping"/>
              <w:t xml:space="preserve">Section 1194.21 Software Applications and Operating Systems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26">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27">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28">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When software is designed to run on a system that has a keyboard, product functions shall be executable from a keyboard where the function itself or the result of performing a function can be discerned textually.</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2A">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0">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This is not applicable to a command line tool.</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3">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This is not applicable to a command line tool.</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When bitmap images are used to identify controls, status indicators, or other programmatic elements, the meaning assigned to those images shall be consistent throughout an application's performance.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6">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This is not applicable to a command line tool.</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(f) Textual information shall be provided through operating system functions for displaying text. The minimum information that shall be made available is text content, text input caret location, and text attributes.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9">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(g) Applications shall not override user selected contrast and color selections and other individual display attributes.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C">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(h) When animation is displayed, the information shall be displayable in at least one non-animated presentation mode at the option of the user.</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3F">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This is not applicable to a command line tool. </w:t>
            </w: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(i) Color coding shall not be used as the only means of conveying information, indicating an action, prompting a response, or distinguishing a visual element.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42">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 When a product permits a user to adjust color and contrast settings, a variety of color selections capable of producing a range of contrast levels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45">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r w:rsidDel="00000000" w:rsidR="00000000" w:rsidRPr="00000000">
              <w:rPr>
                <w:rFonts w:ascii="Overpass Light" w:cs="Overpass Light" w:eastAsia="Overpass Light" w:hAnsi="Overpass Light"/>
                <w:sz w:val="22"/>
                <w:szCs w:val="22"/>
                <w:rtl w:val="0"/>
              </w:rPr>
              <w:t xml:space="preserve">This is not applicable to a command line tool.</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 Software shall not use flashing or blinking text, objects, or other elements having a flash or blink frequency greater than 2 Hz and lower than 55 Hz.</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48">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(l) When electronic forms are used, the form shall allow people using Assistive Technology to access the information, field elements, and functionality required for completion and submission of the form, including all directions and cues.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4B">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C">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 This is not applicable to a command line tool.</w:t>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2"/>
        <w:tblW w:w="97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4087"/>
        <w:gridCol w:w="2792"/>
        <w:gridCol w:w="2893"/>
        <w:tblGridChange w:id="0">
          <w:tblGrid>
            <w:gridCol w:w="4087"/>
            <w:gridCol w:w="2792"/>
            <w:gridCol w:w="289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4E">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br w:type="textWrapping"/>
              <w:t xml:space="preserve">Section 1194.22 Web-based Intranet and Internet information and Applications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51">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52">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53">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A text equivalent for every non-text element shall be provided (e.g., via "alt", "longdesc", or in element content).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55">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Equivalent alternatives for any multimedia presentation shall be synchronized with the presentation.</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58">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 Multimedia Presentations are used in RHACM</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Web pages shall be designed so that all information conveyed with color is also available without color, for example from context or markup.</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Does not support</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Documents shall be organized so they are readable without requiring an associated style sheet.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Does not support</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Redundant text links shall be provided for each active region of a server-side image map.</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61">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Server-side maps are not used.</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(f) Client-side image maps shall be provided instead of server-side image maps except where the regions cannot be defined with an available geometric shape.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64">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Client-side maps are not used.</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(g) Row and column headers shall be identified for data tables.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(h) Markup shall be used to associate data cells and header cells for data tables that have two or more logical levels of row or column headers.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6A">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Does not support</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(i) Frames shall be titled with text that facilitates frame identification and navigation</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6D">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 Pages shall be designed to avoid causing the screen to flicker with a frequency greater than 2 Hz and lower than 55 Hz.</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0">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3">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Does not support</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(l) When pages utilize scripting languages to display content, or to create interface elements, the information provided by the script shall be identified with functional text that can be read by Assistive Technology.</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(m) When a web page requires that an applet, plug-in or other application be present on the client system to interpret page content, the page must provide a link to a plug-in or applet that complies with 1194.21(a) through (l).</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(o) A method shall be provided that permits users to skip repetitive navigation links.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(p) When a timed response is required, the user shall be alerted and given sufficient time to indicate more time is required.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3"/>
        <w:tblW w:w="96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3988"/>
        <w:gridCol w:w="2791"/>
        <w:gridCol w:w="2893"/>
        <w:tblGridChange w:id="0">
          <w:tblGrid>
            <w:gridCol w:w="3988"/>
            <w:gridCol w:w="2791"/>
            <w:gridCol w:w="289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85">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br w:type="textWrapping"/>
              <w:t xml:space="preserve">Section 1194.23 Telecommunications Products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88">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89">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8A">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8C">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Telecommunications products which include voice communication functionality shall support all commonly used cross-manufacturer non-proprietary standard TTY signal protocols.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8F">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Voice mail, auto-attendant, and interactive voice response telecommunications systems shall be usable by TTY users with their TTYs.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92">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95">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Where provided, caller identification and similar telecommunications functions shall also be available for users of TTYs, and for users who cannot see displays.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98">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(f) For transmitted voice signals, telecommunications products shall provide a gain adjustable up to a minimum of 20 dB. For incremental volume control, at least one intermediate step of 12 dB of gain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9B">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(g) If the telecommunications product allows a user to adjust the receive volume, a function shall be provided to automatically reset the volume to the default level after every use.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9E">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(h) Where a telecommunications product delivers output by an audio transducer which is normally held up to the ear, a means for effective magnetic wireless coupling to hearing technologies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A1">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(i) Interference to hearing technologies (including hearing aids, cochlear implants, and assistive listening devices) shall be reduced to the lowest possible level that allows a user of hearing technologies to utilize the telecommunications product.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A4">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A7">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(k)(1) Products which have mechanically operated controls or keys shall comply with the following: Controls and Keys shall be tactilely discernible without activating the controls or keys.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AA">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AD">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(k)(3) Products which have mechanically operated controls or keys shall comply with the following: If key repeat is supported, the delay before repeat shall be adjustable to at least 2 seconds. Key repeat rate shall be adjustable to 2 seconds per character.</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B0">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(k)(4) Products which have mechanically operated controls or keys shall comply with the following: The status of all locking or toggle controls or keys shall be visually discernible, and discernible either through touch or sound.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4"/>
        <w:tblW w:w="96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3989"/>
        <w:gridCol w:w="2790"/>
        <w:gridCol w:w="2893"/>
        <w:tblGridChange w:id="0">
          <w:tblGrid>
            <w:gridCol w:w="3989"/>
            <w:gridCol w:w="2790"/>
            <w:gridCol w:w="289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B6">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br w:type="textWrapping"/>
              <w:t xml:space="preserve">Section 1194.24 Video and Multi-media Products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B9">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BA">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BB">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Television tuners, including tuner cards for use in computers, shall be equipped with secondary audio program playback circuitry.</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All training and informational video and multimedia productions which support the agency's mission, regardless of format, that contain speech or other audio information necessary for the comprehension of the content, shall be open or closed captioned.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All training and informational video and multimedia productions which support the agency's mission, regardless of format, that contain visual information necessary for the comprehension of the content, shall be audio described.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Display or presentation of alternate text presentation or audio descriptions shall be user-selectable unless permanent.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5"/>
        <w:tblW w:w="96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3947"/>
        <w:gridCol w:w="2764"/>
        <w:gridCol w:w="2961"/>
        <w:tblGridChange w:id="0">
          <w:tblGrid>
            <w:gridCol w:w="3947"/>
            <w:gridCol w:w="2764"/>
            <w:gridCol w:w="2961"/>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CC">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br w:type="textWrapping"/>
              <w:t xml:space="preserve">Section 1194.25 Self-Contained, Closed Products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CF">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0">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D1">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Self contained products shall be usable by people with disabilities without requiring an end-user to attach Assistive Technology to the product. Personal headsets for private listening are not Assistive Technology.</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3">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When a timed response is required, the user shall be alerted and given sufficient time to indicate more time is required.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6">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Where a product utilizes touchscreens or contact-sensitive controls, an input method shall be provided that complies with 1194.23 (k) (1) through (4).</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9">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When biometric forms of user identification or control are used, an alternative form of identification or activation, which does not require the user to possess particular biological characteristics, shall also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C">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E2">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(g) Color coding shall not be used as the only means of conveying information, indicating an action, prompting a response, or distinguishing a visual element.</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E5">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(h) When a product permits a user to adjust color and contrast settings, a range of color selections capable of producing a variety of contrast levels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E8">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(i) Products shall be designed to avoid causing the screen to flicker with a frequency greater than 2 Hz and lower than 55 Hz.</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EB">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EE">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F1">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F4">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(j)(4) Products which are freestanding, non-portable, and intended to be used in one location and which have operable controls shall comply with the following: Operable controls shall not be more than 24 inches behind the reference plane.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F7">
            <w:pPr>
              <w:jc w:val="center"/>
              <w:rPr>
                <w:rFonts w:ascii="Overpass Light" w:cs="Overpass Light" w:eastAsia="Overpass Light" w:hAnsi="Overpass Light"/>
                <w:sz w:val="22"/>
                <w:szCs w:val="22"/>
              </w:rPr>
            </w:pPr>
            <w:r w:rsidDel="00000000" w:rsidR="00000000" w:rsidRPr="00000000">
              <w:rPr>
                <w:rFonts w:ascii="Overpass Light" w:cs="Overpass Light" w:eastAsia="Overpass Light" w:hAnsi="Overpass Light"/>
                <w:sz w:val="22"/>
                <w:szCs w:val="22"/>
                <w:rtl w:val="0"/>
              </w:rPr>
              <w:t xml:space="preserve">Not Applicable</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6"/>
        <w:tblW w:w="9473.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3867"/>
        <w:gridCol w:w="2803"/>
        <w:gridCol w:w="2803"/>
        <w:tblGridChange w:id="0">
          <w:tblGrid>
            <w:gridCol w:w="3867"/>
            <w:gridCol w:w="2803"/>
            <w:gridCol w:w="280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Overpass" w:cs="Overpass" w:eastAsia="Overpass" w:hAnsi="Overpas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Section 1194.26 Desktop and Portable Computers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0FE">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0FF">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0">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All mechanically operated controls and keys shall comply with 1194.23 (k) (1) through (4).</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02">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If a product utilizes touchscreens or touch-operated controls, an input method shall be provided that complies with 1194.23 (k) (1) through (4).</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05">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When biometric forms of user identification or control are used, an alternative form of identification or activation, which does not require the user to possess particular biological characteristics, shall also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08">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Where provided, at least one of each type of expansion slots, ports and connectors shall comply with publicly available industry standards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0B">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7"/>
        <w:tblW w:w="96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3988"/>
        <w:gridCol w:w="2791"/>
        <w:gridCol w:w="2893"/>
        <w:tblGridChange w:id="0">
          <w:tblGrid>
            <w:gridCol w:w="3988"/>
            <w:gridCol w:w="2791"/>
            <w:gridCol w:w="289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0E">
            <w:pPr>
              <w:pStyle w:val="Heading4"/>
              <w:numPr>
                <w:ilvl w:val="3"/>
                <w:numId w:val="1"/>
              </w:numPr>
              <w:tabs>
                <w:tab w:val="left" w:pos="0"/>
              </w:tabs>
              <w:spacing w:after="120" w:before="240" w:lineRule="auto"/>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br w:type="textWrapping"/>
              <w:t xml:space="preserve">Section 1194.31 Functional Performance Criteria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11">
            <w:pPr>
              <w:pStyle w:val="Heading4"/>
              <w:numPr>
                <w:ilvl w:val="3"/>
                <w:numId w:val="1"/>
              </w:numPr>
              <w:tabs>
                <w:tab w:val="left" w:pos="0"/>
              </w:tabs>
              <w:spacing w:after="120" w:before="240" w:lineRule="auto"/>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12">
            <w:pPr>
              <w:pStyle w:val="Heading4"/>
              <w:numPr>
                <w:ilvl w:val="3"/>
                <w:numId w:val="1"/>
              </w:numPr>
              <w:tabs>
                <w:tab w:val="left" w:pos="0"/>
              </w:tabs>
              <w:spacing w:after="120" w:before="240" w:lineRule="auto"/>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13">
            <w:pPr>
              <w:pStyle w:val="Heading4"/>
              <w:numPr>
                <w:ilvl w:val="3"/>
                <w:numId w:val="1"/>
              </w:numPr>
              <w:tabs>
                <w:tab w:val="left" w:pos="0"/>
              </w:tabs>
              <w:spacing w:after="120" w:before="240" w:lineRule="auto"/>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At least one mode of operation and information retrieval that does not require user vision shall be provided, or support for Assistive Technology used by people who are blind or visually impaired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 with Exceptions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 Application topology Viewer does not support it</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At least one mode of operation and information retrieval that does not require user hearing shall be provided, or support for Assistive Technology used by people who are deaf or hard of hearing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 does not utilize audio feedback.</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(d) Where audio information is important for the use of a product, at least one mode of operation and information retrieval shall be provided in an enhanced auditory fashion, or support for assistive hearing devices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1E">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1F">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 does not utilize audio feedback.</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(e) At least one mode of operation and information retrieval that does not require user speech shall be provided, or support for Assistive Technology used by people with disabilities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21">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22">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RHACM does not utilize speech input.</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(f) At least one mode of operation and information retrieval that does not require fine motor control or simultaneous actions and that is operable with limited reach and strength shall be provided.</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24">
            <w:pPr>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Not applicable</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bl>
      <w:tblPr>
        <w:tblStyle w:val="Table8"/>
        <w:tblW w:w="9872.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4112"/>
        <w:gridCol w:w="2777"/>
        <w:gridCol w:w="2983"/>
        <w:tblGridChange w:id="0">
          <w:tblGrid>
            <w:gridCol w:w="4112"/>
            <w:gridCol w:w="2777"/>
            <w:gridCol w:w="2983"/>
          </w:tblGrid>
        </w:tblGridChange>
      </w:tblGrid>
      <w:tr>
        <w:tc>
          <w:tcPr>
            <w:gridSpan w:val="3"/>
            <w:tcBorders>
              <w:top w:color="808080" w:space="0" w:sz="6" w:val="single"/>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27">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Section 1194.41 Information, Documentation and Support – Detail</w:t>
              <w:br w:type="textWrapping"/>
              <w:t xml:space="preserve">Voluntary Product Accessibility Template</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2A">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Criteria</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2B">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Level of Support &amp; Supporting Features</w:t>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2C">
            <w:pPr>
              <w:pStyle w:val="Heading4"/>
              <w:numPr>
                <w:ilvl w:val="3"/>
                <w:numId w:val="1"/>
              </w:numPr>
              <w:tabs>
                <w:tab w:val="left" w:pos="0"/>
              </w:tabs>
              <w:spacing w:after="120" w:before="24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Remarks and explanations</w:t>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(a) Product support documentation provided to end-users shall be made available in alternate formats upon request, at no additional charge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r>
        <w:tc>
          <w:tcPr>
            <w:tcBorders>
              <w:left w:color="808080" w:space="0" w:sz="6" w:val="single"/>
              <w:bottom w:color="808080" w:space="0" w:sz="6" w:val="single"/>
            </w:tcBorders>
            <w:shd w:fill="auto"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(b) End-users shall have access to a description of the accessibility and compatibility features of products in alternate formats or alternate methods upon request, at no additional charge.</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Accessibility features are outlined in the VPAT above. Descriptions of these features can be made available in different formats on request and at no additional charge.</w:t>
            </w:r>
            <w:r w:rsidDel="00000000" w:rsidR="00000000" w:rsidRPr="00000000">
              <w:rPr>
                <w:rtl w:val="0"/>
              </w:rPr>
            </w:r>
          </w:p>
        </w:tc>
      </w:tr>
      <w:tr>
        <w:tc>
          <w:tcPr>
            <w:tcBorders>
              <w:left w:color="808080" w:space="0" w:sz="6" w:val="single"/>
              <w:bottom w:color="808080" w:space="0" w:sz="6" w:val="single"/>
            </w:tcBorders>
            <w:shd w:fill="auto"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(c) Support services for products shall accommodate the communication needs of end-users with disabilities.</w:t>
            </w:r>
          </w:p>
        </w:tc>
        <w:tc>
          <w:tcPr>
            <w:tcBorders>
              <w:left w:color="808080" w:space="0" w:sz="6" w:val="single"/>
              <w:bottom w:color="808080" w:space="0" w:sz="6" w:val="single"/>
            </w:tcBorders>
            <w:shd w:fill="auto" w:val="cle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sz w:val="22"/>
                <w:szCs w:val="22"/>
                <w:rtl w:val="0"/>
              </w:rPr>
              <w:t xml:space="preserve">Supports</w:t>
            </w:r>
            <w:r w:rsidDel="00000000" w:rsidR="00000000" w:rsidRPr="00000000">
              <w:rPr>
                <w:rtl w:val="0"/>
              </w:rPr>
            </w:r>
          </w:p>
        </w:tc>
        <w:tc>
          <w:tcPr>
            <w:tcBorders>
              <w:left w:color="808080" w:space="0" w:sz="6" w:val="single"/>
              <w:bottom w:color="808080" w:space="0" w:sz="6" w:val="single"/>
              <w:right w:color="808080" w:space="0" w:sz="6" w:val="single"/>
            </w:tcBorders>
            <w:shd w:fill="auto" w:val="cle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w:cs="Overpass" w:eastAsia="Overpass" w:hAnsi="Overpas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APPENDIX A</w:t>
      </w:r>
    </w:p>
    <w:p w:rsidR="00000000" w:rsidDel="00000000" w:rsidP="00000000" w:rsidRDefault="00000000" w:rsidRPr="00000000" w14:paraId="00000138">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Suggested Language for Filling out the VPAT/GPAT</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In order to simplify the task of conducting market research assessments for procurement officials or customers, ITIC (Information Technology Industry Council) has developed suggested language for use when filling out a VPAT/GPAT. You may choose to employ all or some of the language below. Once you determine what language you intend to use, we recommend that use is consistent throughout all of your VPAT/GPATs.</w:t>
      </w:r>
    </w:p>
    <w:p w:rsidR="00000000" w:rsidDel="00000000" w:rsidP="00000000" w:rsidRDefault="00000000" w:rsidRPr="00000000" w14:paraId="0000013A">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Supporting Features (Column 2 on VPAT/GPAT)</w:t>
      </w:r>
    </w:p>
    <w:p w:rsidR="00000000" w:rsidDel="00000000" w:rsidP="00000000" w:rsidRDefault="00000000" w:rsidRPr="00000000" w14:paraId="0000013B">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Supports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w:cs="Overpass" w:eastAsia="Overpass" w:hAnsi="Overpass"/>
          <w:i w:val="0"/>
          <w:smallCaps w:val="0"/>
          <w:strike w:val="0"/>
          <w:color w:val="000000"/>
          <w:sz w:val="22"/>
          <w:szCs w:val="22"/>
          <w:u w:val="none"/>
          <w:shd w:fill="auto" w:val="clear"/>
          <w:vertAlign w:val="baseline"/>
        </w:rPr>
      </w:pPr>
      <w:r w:rsidDel="00000000" w:rsidR="00000000" w:rsidRPr="00000000">
        <w:rPr>
          <w:rFonts w:ascii="Overpass" w:cs="Overpass" w:eastAsia="Overpass" w:hAnsi="Overpass"/>
          <w:i w:val="0"/>
          <w:smallCaps w:val="0"/>
          <w:strike w:val="0"/>
          <w:color w:val="000000"/>
          <w:sz w:val="22"/>
          <w:szCs w:val="22"/>
          <w:u w:val="none"/>
          <w:shd w:fill="auto" w:val="clear"/>
          <w:vertAlign w:val="baseline"/>
          <w:rtl w:val="0"/>
        </w:rPr>
        <w:t xml:space="preserve">Use this language when you determine the product fully meets the letter and intent of the Criteria.</w:t>
      </w:r>
    </w:p>
    <w:p w:rsidR="00000000" w:rsidDel="00000000" w:rsidP="00000000" w:rsidRDefault="00000000" w:rsidRPr="00000000" w14:paraId="0000013D">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Supports with Exceptions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Use this language when you determine the product does not fully meet the letter and intent of the Criteria, but provides some level of access relative to the Criteria.</w:t>
      </w:r>
    </w:p>
    <w:p w:rsidR="00000000" w:rsidDel="00000000" w:rsidP="00000000" w:rsidRDefault="00000000" w:rsidRPr="00000000" w14:paraId="0000013F">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Supports through Equivalent Facilitation</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Use this language when you have identified an alternate way to meet the intent of the Criteria or when the product does not fully meet the intent of the Criteria.</w:t>
      </w:r>
    </w:p>
    <w:p w:rsidR="00000000" w:rsidDel="00000000" w:rsidP="00000000" w:rsidRDefault="00000000" w:rsidRPr="00000000" w14:paraId="00000141">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Supports when combined with Compatible AT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Use this language when you determine the product fully meets the letter and intent of the Criteria when used in combination with Compatible AT. For example, many software programs can provide speech output when combined with a compatible screen reader (commonly used assistive technology for people who are blind).</w:t>
      </w:r>
    </w:p>
    <w:p w:rsidR="00000000" w:rsidDel="00000000" w:rsidP="00000000" w:rsidRDefault="00000000" w:rsidRPr="00000000" w14:paraId="00000143">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Does not Support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Use this language when you determine the product does not meet the letter or intent of the Criteria.</w:t>
      </w:r>
    </w:p>
    <w:p w:rsidR="00000000" w:rsidDel="00000000" w:rsidP="00000000" w:rsidRDefault="00000000" w:rsidRPr="00000000" w14:paraId="00000145">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Not Applicable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verpass Light" w:cs="Overpass Light" w:eastAsia="Overpass Light" w:hAnsi="Overpass Light"/>
          <w:i w:val="0"/>
          <w:smallCaps w:val="0"/>
          <w:strike w:val="0"/>
          <w:color w:val="000000"/>
          <w:sz w:val="22"/>
          <w:szCs w:val="22"/>
          <w:u w:val="none"/>
          <w:shd w:fill="auto" w:val="clear"/>
          <w:vertAlign w:val="baseline"/>
        </w:rPr>
      </w:pPr>
      <w:r w:rsidDel="00000000" w:rsidR="00000000" w:rsidRPr="00000000">
        <w:rPr>
          <w:rFonts w:ascii="Overpass Light" w:cs="Overpass Light" w:eastAsia="Overpass Light" w:hAnsi="Overpass Light"/>
          <w:i w:val="0"/>
          <w:smallCaps w:val="0"/>
          <w:strike w:val="0"/>
          <w:color w:val="000000"/>
          <w:sz w:val="22"/>
          <w:szCs w:val="22"/>
          <w:u w:val="none"/>
          <w:shd w:fill="auto" w:val="clear"/>
          <w:vertAlign w:val="baseline"/>
          <w:rtl w:val="0"/>
        </w:rPr>
        <w:t xml:space="preserve">Use this language when you determine that the Criteria do not apply to the specific product.</w:t>
      </w:r>
    </w:p>
    <w:p w:rsidR="00000000" w:rsidDel="00000000" w:rsidP="00000000" w:rsidRDefault="00000000" w:rsidRPr="00000000" w14:paraId="00000147">
      <w:pPr>
        <w:pStyle w:val="Heading5"/>
        <w:numPr>
          <w:ilvl w:val="4"/>
          <w:numId w:val="1"/>
        </w:numPr>
        <w:tabs>
          <w:tab w:val="left" w:pos="0"/>
        </w:tabs>
        <w:ind w:left="0" w:firstLine="0"/>
        <w:rPr>
          <w:rFonts w:ascii="Overpass" w:cs="Overpass" w:eastAsia="Overpass" w:hAnsi="Overpass"/>
          <w:sz w:val="22"/>
          <w:szCs w:val="22"/>
        </w:rPr>
      </w:pPr>
      <w:r w:rsidDel="00000000" w:rsidR="00000000" w:rsidRPr="00000000">
        <w:rPr>
          <w:rFonts w:ascii="Overpass" w:cs="Overpass" w:eastAsia="Overpass" w:hAnsi="Overpass"/>
          <w:sz w:val="22"/>
          <w:szCs w:val="22"/>
          <w:rtl w:val="0"/>
        </w:rPr>
        <w:t xml:space="preserve">Not Applicable - Fundamental Alteration Exception Applies</w:t>
      </w:r>
    </w:p>
    <w:p w:rsidR="00000000" w:rsidDel="00000000" w:rsidP="00000000" w:rsidRDefault="00000000" w:rsidRPr="00000000" w14:paraId="00000148">
      <w:pPr>
        <w:pStyle w:val="Heading5"/>
        <w:numPr>
          <w:ilvl w:val="4"/>
          <w:numId w:val="1"/>
        </w:numPr>
        <w:tabs>
          <w:tab w:val="left" w:pos="0"/>
        </w:tabs>
        <w:spacing w:after="120" w:before="240" w:lineRule="auto"/>
        <w:ind w:left="0" w:firstLine="0"/>
        <w:rPr>
          <w:rFonts w:ascii="Overpass" w:cs="Overpass" w:eastAsia="Overpass" w:hAnsi="Overpass"/>
          <w:b w:val="0"/>
          <w:sz w:val="22"/>
          <w:szCs w:val="22"/>
        </w:rPr>
      </w:pPr>
      <w:r w:rsidDel="00000000" w:rsidR="00000000" w:rsidRPr="00000000">
        <w:rPr>
          <w:rFonts w:ascii="Overpass" w:cs="Overpass" w:eastAsia="Overpass" w:hAnsi="Overpass"/>
          <w:sz w:val="22"/>
          <w:szCs w:val="22"/>
          <w:rtl w:val="0"/>
        </w:rPr>
        <w:t xml:space="preserve">Use this language when you determine a Fundamental Alteration of the product would be required to meet the Criteria (see the access board standards for the definition of "fundamental alteration").</w:t>
      </w:r>
      <w:r w:rsidDel="00000000" w:rsidR="00000000" w:rsidRPr="00000000">
        <w:rPr>
          <w:rFonts w:ascii="Overpass" w:cs="Overpass" w:eastAsia="Overpass" w:hAnsi="Overpass"/>
          <w:b w:val="0"/>
          <w:sz w:val="22"/>
          <w:szCs w:val="22"/>
          <w:rtl w:val="0"/>
        </w:rPr>
        <w:br w:type="textWrapping"/>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Times New Roman" w:cs="Times New Roman" w:eastAsia="Times New Roman" w:hAnsi="Times New Roman"/>
      <w:b w:val="1"/>
      <w:sz w:val="48"/>
      <w:szCs w:val="48"/>
    </w:rPr>
  </w:style>
  <w:style w:type="paragraph" w:styleId="Heading2">
    <w:name w:val="heading 2"/>
    <w:basedOn w:val="Normal"/>
    <w:next w:val="Normal"/>
    <w:pPr>
      <w:keepNext w:val="1"/>
      <w:spacing w:after="120" w:before="240" w:lineRule="auto"/>
      <w:ind w:left="0" w:firstLine="0"/>
    </w:pPr>
    <w:rPr>
      <w:rFonts w:ascii="Times New Roman" w:cs="Times New Roman" w:eastAsia="Times New Roman" w:hAnsi="Times New Roman"/>
      <w:b w:val="1"/>
      <w:sz w:val="36"/>
      <w:szCs w:val="36"/>
    </w:rPr>
  </w:style>
  <w:style w:type="paragraph" w:styleId="Heading3">
    <w:name w:val="heading 3"/>
    <w:basedOn w:val="Normal"/>
    <w:next w:val="Normal"/>
    <w:pPr>
      <w:keepNext w:val="1"/>
      <w:spacing w:after="120" w:before="240" w:lineRule="auto"/>
      <w:ind w:left="0" w:firstLine="0"/>
    </w:pPr>
    <w:rPr>
      <w:rFonts w:ascii="Times New Roman" w:cs="Times New Roman" w:eastAsia="Times New Roman" w:hAnsi="Times New Roman"/>
      <w:b w:val="1"/>
      <w:sz w:val="28"/>
      <w:szCs w:val="28"/>
    </w:rPr>
  </w:style>
  <w:style w:type="paragraph" w:styleId="Heading4">
    <w:name w:val="heading 4"/>
    <w:basedOn w:val="Normal"/>
    <w:next w:val="Normal"/>
    <w:pPr>
      <w:keepNext w:val="1"/>
      <w:spacing w:after="120" w:before="240" w:lineRule="auto"/>
      <w:ind w:left="0" w:firstLine="0"/>
    </w:pPr>
    <w:rPr>
      <w:rFonts w:ascii="Times New Roman" w:cs="Times New Roman" w:eastAsia="Times New Roman" w:hAnsi="Times New Roman"/>
      <w:b w:val="1"/>
      <w:sz w:val="24"/>
      <w:szCs w:val="24"/>
    </w:rPr>
  </w:style>
  <w:style w:type="paragraph" w:styleId="Heading5">
    <w:name w:val="heading 5"/>
    <w:basedOn w:val="Normal"/>
    <w:next w:val="Normal"/>
    <w:pPr>
      <w:keepNext w:val="1"/>
      <w:spacing w:after="120" w:before="240" w:lineRule="auto"/>
      <w:ind w:left="0" w:firstLine="0"/>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5.0" w:type="dxa"/>
        <w:bottom w:w="28.0" w:type="dxa"/>
        <w:right w:w="28.0" w:type="dxa"/>
      </w:tblCellMar>
    </w:tblPr>
  </w:style>
  <w:style w:type="table" w:styleId="Table2">
    <w:basedOn w:val="TableNormal"/>
    <w:tblPr>
      <w:tblStyleRowBandSize w:val="1"/>
      <w:tblStyleColBandSize w:val="1"/>
      <w:tblCellMar>
        <w:top w:w="28.0" w:type="dxa"/>
        <w:left w:w="5.0" w:type="dxa"/>
        <w:bottom w:w="28.0" w:type="dxa"/>
        <w:right w:w="28.0" w:type="dxa"/>
      </w:tblCellMar>
    </w:tblPr>
  </w:style>
  <w:style w:type="table" w:styleId="Table3">
    <w:basedOn w:val="TableNormal"/>
    <w:tblPr>
      <w:tblStyleRowBandSize w:val="1"/>
      <w:tblStyleColBandSize w:val="1"/>
      <w:tblCellMar>
        <w:top w:w="28.0" w:type="dxa"/>
        <w:left w:w="5.0" w:type="dxa"/>
        <w:bottom w:w="28.0" w:type="dxa"/>
        <w:right w:w="28.0" w:type="dxa"/>
      </w:tblCellMar>
    </w:tblPr>
  </w:style>
  <w:style w:type="table" w:styleId="Table4">
    <w:basedOn w:val="TableNormal"/>
    <w:tblPr>
      <w:tblStyleRowBandSize w:val="1"/>
      <w:tblStyleColBandSize w:val="1"/>
      <w:tblCellMar>
        <w:top w:w="28.0" w:type="dxa"/>
        <w:left w:w="5.0" w:type="dxa"/>
        <w:bottom w:w="28.0" w:type="dxa"/>
        <w:right w:w="28.0" w:type="dxa"/>
      </w:tblCellMar>
    </w:tblPr>
  </w:style>
  <w:style w:type="table" w:styleId="Table5">
    <w:basedOn w:val="TableNormal"/>
    <w:tblPr>
      <w:tblStyleRowBandSize w:val="1"/>
      <w:tblStyleColBandSize w:val="1"/>
      <w:tblCellMar>
        <w:top w:w="28.0" w:type="dxa"/>
        <w:left w:w="5.0" w:type="dxa"/>
        <w:bottom w:w="28.0" w:type="dxa"/>
        <w:right w:w="28.0" w:type="dxa"/>
      </w:tblCellMar>
    </w:tblPr>
  </w:style>
  <w:style w:type="table" w:styleId="Table6">
    <w:basedOn w:val="TableNormal"/>
    <w:tblPr>
      <w:tblStyleRowBandSize w:val="1"/>
      <w:tblStyleColBandSize w:val="1"/>
      <w:tblCellMar>
        <w:top w:w="28.0" w:type="dxa"/>
        <w:left w:w="5.0" w:type="dxa"/>
        <w:bottom w:w="28.0" w:type="dxa"/>
        <w:right w:w="28.0" w:type="dxa"/>
      </w:tblCellMar>
    </w:tblPr>
  </w:style>
  <w:style w:type="table" w:styleId="Table7">
    <w:basedOn w:val="TableNormal"/>
    <w:tblPr>
      <w:tblStyleRowBandSize w:val="1"/>
      <w:tblStyleColBandSize w:val="1"/>
      <w:tblCellMar>
        <w:top w:w="28.0" w:type="dxa"/>
        <w:left w:w="5.0" w:type="dxa"/>
        <w:bottom w:w="28.0" w:type="dxa"/>
        <w:right w:w="28.0" w:type="dxa"/>
      </w:tblCellMar>
    </w:tblPr>
  </w:style>
  <w:style w:type="table" w:styleId="Table8">
    <w:basedOn w:val="TableNormal"/>
    <w:tblPr>
      <w:tblStyleRowBandSize w:val="1"/>
      <w:tblStyleColBandSize w:val="1"/>
      <w:tblCellMar>
        <w:top w:w="28.0" w:type="dxa"/>
        <w:left w:w="5.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 Id="rId5" Type="http://schemas.openxmlformats.org/officeDocument/2006/relationships/font" Target="fonts/OverpassLight-regular.ttf"/><Relationship Id="rId6" Type="http://schemas.openxmlformats.org/officeDocument/2006/relationships/font" Target="fonts/OverpassLight-bold.ttf"/><Relationship Id="rId7" Type="http://schemas.openxmlformats.org/officeDocument/2006/relationships/font" Target="fonts/OverpassLight-italic.ttf"/><Relationship Id="rId8" Type="http://schemas.openxmlformats.org/officeDocument/2006/relationships/font" Target="fonts/Overpas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